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68D" w:rsidRDefault="00122B95">
      <w:pPr>
        <w:spacing w:after="0"/>
        <w:jc w:val="right"/>
      </w:pPr>
      <w:bookmarkStart w:id="0" w:name="_GoBack"/>
      <w:bookmarkEnd w:id="0"/>
      <w:r>
        <w:t>資料</w:t>
      </w:r>
      <w:r>
        <w:t>4</w:t>
      </w:r>
    </w:p>
    <w:p w:rsidR="00F0368D" w:rsidRDefault="00122B95">
      <w:pPr>
        <w:spacing w:before="160"/>
        <w:jc w:val="center"/>
      </w:pPr>
      <w:r>
        <w:rPr>
          <w:b/>
        </w:rPr>
        <w:t>共同実施協定書（案）</w:t>
      </w:r>
    </w:p>
    <w:p w:rsidR="00F0368D" w:rsidRDefault="00122B95">
      <w:pPr>
        <w:spacing w:after="0"/>
        <w:rPr>
          <w:lang w:eastAsia="ja-JP"/>
        </w:rPr>
      </w:pPr>
      <w:r>
        <w:t xml:space="preserve">　</w:t>
      </w:r>
      <w:r>
        <w:rPr>
          <w:lang w:eastAsia="ja-JP"/>
        </w:rPr>
        <w:t>上牧町（以下「甲」という。）と　　　　　　　　　　　（以下「乙」という。）は、令和</w:t>
      </w:r>
      <w:r>
        <w:rPr>
          <w:lang w:eastAsia="ja-JP"/>
        </w:rPr>
        <w:t>8</w:t>
      </w:r>
      <w:r>
        <w:rPr>
          <w:lang w:eastAsia="ja-JP"/>
        </w:rPr>
        <w:t>年上牧町公共施設等への太陽光発電設備等導入計画策定事業（以下「本事業」という。）を共同で実施するため、次のとおり協定を締結する。</w:t>
      </w:r>
    </w:p>
    <w:p w:rsidR="00F0368D" w:rsidRDefault="00122B95">
      <w:pPr>
        <w:rPr>
          <w:lang w:eastAsia="ja-JP"/>
        </w:rPr>
      </w:pPr>
      <w:r>
        <w:rPr>
          <w:lang w:eastAsia="ja-JP"/>
        </w:rPr>
        <w:t xml:space="preserve">　乙は、事業実施候補者決定の日から本協定締結日まで企画提案書が有効であったことを確認し、本協定及び第</w:t>
      </w:r>
      <w:r>
        <w:rPr>
          <w:lang w:eastAsia="ja-JP"/>
        </w:rPr>
        <w:t>2</w:t>
      </w:r>
      <w:r>
        <w:rPr>
          <w:lang w:eastAsia="ja-JP"/>
        </w:rPr>
        <w:t>条に定める優先順位に従って本事業を実施する。</w:t>
      </w:r>
    </w:p>
    <w:p w:rsidR="00F0368D" w:rsidRDefault="00122B95">
      <w:pPr>
        <w:spacing w:before="100" w:after="0"/>
        <w:rPr>
          <w:lang w:eastAsia="ja-JP"/>
        </w:rPr>
      </w:pPr>
      <w:r>
        <w:rPr>
          <w:b/>
          <w:lang w:eastAsia="ja-JP"/>
        </w:rPr>
        <w:t>第</w:t>
      </w:r>
      <w:r>
        <w:rPr>
          <w:b/>
          <w:lang w:eastAsia="ja-JP"/>
        </w:rPr>
        <w:t>1</w:t>
      </w:r>
      <w:r>
        <w:rPr>
          <w:b/>
          <w:lang w:eastAsia="ja-JP"/>
        </w:rPr>
        <w:t>条（目的）</w:t>
      </w:r>
    </w:p>
    <w:p w:rsidR="00F0368D" w:rsidRDefault="00122B95">
      <w:pPr>
        <w:spacing w:after="0"/>
        <w:ind w:left="227" w:firstLine="227"/>
        <w:rPr>
          <w:lang w:eastAsia="ja-JP"/>
        </w:rPr>
      </w:pPr>
      <w:r>
        <w:rPr>
          <w:lang w:eastAsia="ja-JP"/>
        </w:rPr>
        <w:t>本協定は、環境省の二酸化炭素排出抑制対策事業費等補助金を活用する本事業について、甲及び乙の役割、費用負担、成果物、責任その他必要な事項を定め、適正かつ円滑な実施を図ることを目的とする。</w:t>
      </w:r>
    </w:p>
    <w:p w:rsidR="00F0368D" w:rsidRPr="00F02B1B" w:rsidRDefault="00122B95">
      <w:pPr>
        <w:spacing w:before="100" w:after="0"/>
        <w:rPr>
          <w:b/>
          <w:lang w:eastAsia="ja-JP"/>
        </w:rPr>
      </w:pPr>
      <w:r w:rsidRPr="00F02B1B">
        <w:rPr>
          <w:b/>
          <w:lang w:eastAsia="ja-JP"/>
        </w:rPr>
        <w:t>第</w:t>
      </w:r>
      <w:r w:rsidRPr="00F02B1B">
        <w:rPr>
          <w:b/>
          <w:lang w:eastAsia="ja-JP"/>
        </w:rPr>
        <w:t>2</w:t>
      </w:r>
      <w:r w:rsidRPr="00F02B1B">
        <w:rPr>
          <w:b/>
          <w:lang w:eastAsia="ja-JP"/>
        </w:rPr>
        <w:t>条（関係文書及び優先順位）</w:t>
      </w:r>
    </w:p>
    <w:p w:rsidR="00F0368D" w:rsidRDefault="00122B95">
      <w:pPr>
        <w:spacing w:after="0"/>
        <w:ind w:left="227" w:firstLine="227"/>
        <w:rPr>
          <w:lang w:eastAsia="ja-JP"/>
        </w:rPr>
      </w:pPr>
      <w:r>
        <w:rPr>
          <w:lang w:eastAsia="ja-JP"/>
        </w:rPr>
        <w:t>本事業に適用する文書の優先順位は、</w:t>
      </w:r>
      <w:r>
        <w:rPr>
          <w:lang w:eastAsia="ja-JP"/>
        </w:rPr>
        <w:t>①</w:t>
      </w:r>
      <w:r>
        <w:rPr>
          <w:lang w:eastAsia="ja-JP"/>
        </w:rPr>
        <w:t>法令、交付要綱、交付規程及び交付決定、</w:t>
      </w:r>
      <w:r>
        <w:rPr>
          <w:lang w:eastAsia="ja-JP"/>
        </w:rPr>
        <w:t>②</w:t>
      </w:r>
      <w:r>
        <w:rPr>
          <w:lang w:eastAsia="ja-JP"/>
        </w:rPr>
        <w:t>本協定、</w:t>
      </w:r>
      <w:r>
        <w:rPr>
          <w:lang w:eastAsia="ja-JP"/>
        </w:rPr>
        <w:t>③</w:t>
      </w:r>
      <w:r>
        <w:rPr>
          <w:lang w:eastAsia="ja-JP"/>
        </w:rPr>
        <w:t>実施要領及び要求水準書、</w:t>
      </w:r>
      <w:r>
        <w:rPr>
          <w:lang w:eastAsia="ja-JP"/>
        </w:rPr>
        <w:t>④</w:t>
      </w:r>
      <w:r>
        <w:rPr>
          <w:lang w:eastAsia="ja-JP"/>
        </w:rPr>
        <w:t>質問回答書、</w:t>
      </w:r>
      <w:r>
        <w:rPr>
          <w:lang w:eastAsia="ja-JP"/>
        </w:rPr>
        <w:t>⑤</w:t>
      </w:r>
      <w:r>
        <w:rPr>
          <w:lang w:eastAsia="ja-JP"/>
        </w:rPr>
        <w:t>乙の企画提案書、</w:t>
      </w:r>
      <w:r>
        <w:rPr>
          <w:lang w:eastAsia="ja-JP"/>
        </w:rPr>
        <w:t>⑥</w:t>
      </w:r>
      <w:r>
        <w:rPr>
          <w:lang w:eastAsia="ja-JP"/>
        </w:rPr>
        <w:t>その他双方が書面で合意した事項の順とする。ただし、企画提案書のうち要求水準を上回る提案は、甲が書面で承認した範囲で適用する。各文書は、矛盾しない範囲で</w:t>
      </w:r>
      <w:r>
        <w:rPr>
          <w:lang w:eastAsia="ja-JP"/>
        </w:rPr>
        <w:t>相互に補完する。</w:t>
      </w:r>
    </w:p>
    <w:p w:rsidR="00F0368D" w:rsidRDefault="00122B95">
      <w:pPr>
        <w:spacing w:before="100" w:after="0"/>
        <w:rPr>
          <w:lang w:eastAsia="ja-JP"/>
        </w:rPr>
      </w:pPr>
      <w:r>
        <w:rPr>
          <w:b/>
          <w:lang w:eastAsia="ja-JP"/>
        </w:rPr>
        <w:t>第</w:t>
      </w:r>
      <w:r>
        <w:rPr>
          <w:b/>
          <w:lang w:eastAsia="ja-JP"/>
        </w:rPr>
        <w:t>3</w:t>
      </w:r>
      <w:r>
        <w:rPr>
          <w:b/>
          <w:lang w:eastAsia="ja-JP"/>
        </w:rPr>
        <w:t>条（実施体制及び役割）</w:t>
      </w:r>
    </w:p>
    <w:p w:rsidR="00F0368D" w:rsidRDefault="00122B95">
      <w:pPr>
        <w:spacing w:after="0"/>
        <w:ind w:left="227" w:firstLine="227"/>
        <w:rPr>
          <w:lang w:eastAsia="ja-JP"/>
        </w:rPr>
      </w:pPr>
      <w:r>
        <w:rPr>
          <w:lang w:eastAsia="ja-JP"/>
        </w:rPr>
        <w:t>乙は、</w:t>
      </w:r>
      <w:r>
        <w:rPr>
          <w:lang w:eastAsia="ja-JP"/>
        </w:rPr>
        <w:t>G</w:t>
      </w:r>
      <w:r>
        <w:rPr>
          <w:lang w:eastAsia="ja-JP"/>
        </w:rPr>
        <w:t>ビズ</w:t>
      </w:r>
      <w:r>
        <w:rPr>
          <w:lang w:eastAsia="ja-JP"/>
        </w:rPr>
        <w:t>ID</w:t>
      </w:r>
      <w:r>
        <w:rPr>
          <w:lang w:eastAsia="ja-JP"/>
        </w:rPr>
        <w:t>プライム及び</w:t>
      </w:r>
      <w:r>
        <w:rPr>
          <w:lang w:eastAsia="ja-JP"/>
        </w:rPr>
        <w:t>J</w:t>
      </w:r>
      <w:r>
        <w:rPr>
          <w:lang w:eastAsia="ja-JP"/>
        </w:rPr>
        <w:t>グランツによる申請環境を確保し、代表申請者及び補助事業者として、応募申請、交付申請、調査、計画策定、経費管理、資金立替、実績報告、年度事業報告、会計検査対応及び成果物の品質管理を主体的に行う。甲は共同申請者及び共同実施者として、対象施設の選定・承認、保有資料の提供、指定管理者等との合理的な調整、施設立入り調整、成果確認及び導入検討を行う。補助事業完了年度の終了後おおむね</w:t>
      </w:r>
      <w:r>
        <w:rPr>
          <w:lang w:eastAsia="ja-JP"/>
        </w:rPr>
        <w:t>3</w:t>
      </w:r>
      <w:r>
        <w:rPr>
          <w:lang w:eastAsia="ja-JP"/>
        </w:rPr>
        <w:t>年間を目安として、甲及び乙は連携し、導入予定及び進捗状況の報告</w:t>
      </w:r>
      <w:r>
        <w:rPr>
          <w:lang w:eastAsia="ja-JP"/>
        </w:rPr>
        <w:t>及び公表に対応する。</w:t>
      </w:r>
    </w:p>
    <w:p w:rsidR="00F0368D" w:rsidRDefault="00122B95">
      <w:pPr>
        <w:spacing w:before="100" w:after="0"/>
        <w:rPr>
          <w:lang w:eastAsia="ja-JP"/>
        </w:rPr>
      </w:pPr>
      <w:r>
        <w:rPr>
          <w:b/>
          <w:lang w:eastAsia="ja-JP"/>
        </w:rPr>
        <w:t>第</w:t>
      </w:r>
      <w:r>
        <w:rPr>
          <w:b/>
          <w:lang w:eastAsia="ja-JP"/>
        </w:rPr>
        <w:t>4</w:t>
      </w:r>
      <w:r>
        <w:rPr>
          <w:b/>
          <w:lang w:eastAsia="ja-JP"/>
        </w:rPr>
        <w:t>条（対象施設及び事業範囲）</w:t>
      </w:r>
    </w:p>
    <w:p w:rsidR="00F0368D" w:rsidRDefault="00122B95">
      <w:pPr>
        <w:spacing w:after="0"/>
        <w:ind w:left="227" w:firstLine="227"/>
        <w:rPr>
          <w:lang w:eastAsia="ja-JP"/>
        </w:rPr>
      </w:pPr>
      <w:r>
        <w:rPr>
          <w:lang w:eastAsia="ja-JP"/>
        </w:rPr>
        <w:t>対象施設、調査範囲、調査深度及び工程は、候補者決定後、補助金応募申請までに、甲及び乙が補助制度所定の調査対象施設リストを用いて一次スクリーニングを行い、甲が選定・承認する。一次スクリーニングでは、残存耐用年数が</w:t>
      </w:r>
      <w:r>
        <w:rPr>
          <w:lang w:eastAsia="ja-JP"/>
        </w:rPr>
        <w:t>20</w:t>
      </w:r>
      <w:r>
        <w:rPr>
          <w:lang w:eastAsia="ja-JP"/>
        </w:rPr>
        <w:t>年以上であること、耐震性、積載荷重確認資料、設置スペース、休廃止・統廃合及び改修の状況・見込み、施設所管部署の合意並びに過去の対象補助事業との重複の有無を確認する。資料不足その他の事情が判明した場合は、補助対象要件及び交付決定の範囲内で、対象か</w:t>
      </w:r>
      <w:r>
        <w:rPr>
          <w:lang w:eastAsia="ja-JP"/>
        </w:rPr>
        <w:t>らの除外、代替施設の選定、調査範囲、方法及び工程を双方協議して調整する。</w:t>
      </w:r>
    </w:p>
    <w:p w:rsidR="00F0368D" w:rsidRDefault="00122B95">
      <w:pPr>
        <w:spacing w:before="100" w:after="0"/>
        <w:rPr>
          <w:lang w:eastAsia="ja-JP"/>
        </w:rPr>
      </w:pPr>
      <w:r>
        <w:rPr>
          <w:b/>
          <w:lang w:eastAsia="ja-JP"/>
        </w:rPr>
        <w:t>第</w:t>
      </w:r>
      <w:r>
        <w:rPr>
          <w:b/>
          <w:lang w:eastAsia="ja-JP"/>
        </w:rPr>
        <w:t>5</w:t>
      </w:r>
      <w:r>
        <w:rPr>
          <w:b/>
          <w:lang w:eastAsia="ja-JP"/>
        </w:rPr>
        <w:t>条（費用及び補助金）</w:t>
      </w:r>
    </w:p>
    <w:p w:rsidR="00F0368D" w:rsidRDefault="00122B95">
      <w:pPr>
        <w:spacing w:after="0"/>
        <w:ind w:left="227" w:firstLine="227"/>
        <w:rPr>
          <w:lang w:eastAsia="ja-JP"/>
        </w:rPr>
      </w:pPr>
      <w:r>
        <w:rPr>
          <w:lang w:eastAsia="ja-JP"/>
        </w:rPr>
        <w:t>乙は、本事業に必要な経費を負担し、補助金の交付までに必要な資金を立て替える。補助率は補助対象経費の</w:t>
      </w:r>
      <w:r>
        <w:rPr>
          <w:lang w:eastAsia="ja-JP"/>
        </w:rPr>
        <w:t>2</w:t>
      </w:r>
      <w:r>
        <w:rPr>
          <w:lang w:eastAsia="ja-JP"/>
        </w:rPr>
        <w:t>分の</w:t>
      </w:r>
      <w:r>
        <w:rPr>
          <w:lang w:eastAsia="ja-JP"/>
        </w:rPr>
        <w:t>1</w:t>
      </w:r>
      <w:r>
        <w:rPr>
          <w:lang w:eastAsia="ja-JP"/>
        </w:rPr>
        <w:t>とし、補助上限額は調査対象施設数が</w:t>
      </w:r>
      <w:r>
        <w:rPr>
          <w:lang w:eastAsia="ja-JP"/>
        </w:rPr>
        <w:t>20</w:t>
      </w:r>
      <w:r>
        <w:rPr>
          <w:lang w:eastAsia="ja-JP"/>
        </w:rPr>
        <w:t>以下の場合は</w:t>
      </w:r>
      <w:r>
        <w:rPr>
          <w:lang w:eastAsia="ja-JP"/>
        </w:rPr>
        <w:t>1,000</w:t>
      </w:r>
      <w:r>
        <w:rPr>
          <w:lang w:eastAsia="ja-JP"/>
        </w:rPr>
        <w:t>万円、</w:t>
      </w:r>
      <w:r>
        <w:rPr>
          <w:lang w:eastAsia="ja-JP"/>
        </w:rPr>
        <w:t>21</w:t>
      </w:r>
      <w:r>
        <w:rPr>
          <w:lang w:eastAsia="ja-JP"/>
        </w:rPr>
        <w:t>以上の場合は</w:t>
      </w:r>
      <w:r>
        <w:rPr>
          <w:lang w:eastAsia="ja-JP"/>
        </w:rPr>
        <w:t>1,500</w:t>
      </w:r>
      <w:r>
        <w:rPr>
          <w:lang w:eastAsia="ja-JP"/>
        </w:rPr>
        <w:t>万円とする。ただし、補助制度の改定があった場合は改定後の規定を優先する。甲は、採択・不採択、交付決定の有無又は補助金の減額にかかわらず、本事業の実施経費について、委託料、負担金、補償金その他名目を問わず金銭を支払わ</w:t>
      </w:r>
      <w:r>
        <w:rPr>
          <w:lang w:eastAsia="ja-JP"/>
        </w:rPr>
        <w:t>ない。ただし、甲の帰責事由に基づく損害賠償又は補助金返還等の責任を免除するものではない。補助金は乙が受領し、交付条件に従い管理する。</w:t>
      </w:r>
    </w:p>
    <w:p w:rsidR="00F0368D" w:rsidRDefault="00122B95">
      <w:pPr>
        <w:spacing w:before="100" w:after="0"/>
        <w:rPr>
          <w:lang w:eastAsia="ja-JP"/>
        </w:rPr>
      </w:pPr>
      <w:r>
        <w:rPr>
          <w:b/>
          <w:lang w:eastAsia="ja-JP"/>
        </w:rPr>
        <w:t>第</w:t>
      </w:r>
      <w:r>
        <w:rPr>
          <w:b/>
          <w:lang w:eastAsia="ja-JP"/>
        </w:rPr>
        <w:t>6</w:t>
      </w:r>
      <w:r>
        <w:rPr>
          <w:b/>
          <w:lang w:eastAsia="ja-JP"/>
        </w:rPr>
        <w:t>条（交付決定前及び不採択時の取扱い）</w:t>
      </w:r>
    </w:p>
    <w:p w:rsidR="00F0368D" w:rsidRDefault="00122B95">
      <w:pPr>
        <w:spacing w:after="0"/>
        <w:ind w:left="227" w:firstLine="227"/>
        <w:rPr>
          <w:lang w:eastAsia="ja-JP"/>
        </w:rPr>
      </w:pPr>
      <w:r>
        <w:rPr>
          <w:lang w:eastAsia="ja-JP"/>
        </w:rPr>
        <w:t>乙は、法令又は補助制度上認められる場合を除き、交付決定前に補助対象事業へ着手しない。乙は、補助制度上必要な支払いを含め、令和</w:t>
      </w:r>
      <w:r>
        <w:rPr>
          <w:lang w:eastAsia="ja-JP"/>
        </w:rPr>
        <w:t>9</w:t>
      </w:r>
      <w:r>
        <w:rPr>
          <w:lang w:eastAsia="ja-JP"/>
        </w:rPr>
        <w:t>年</w:t>
      </w:r>
      <w:r>
        <w:rPr>
          <w:lang w:eastAsia="ja-JP"/>
        </w:rPr>
        <w:t>2</w:t>
      </w:r>
      <w:r>
        <w:rPr>
          <w:lang w:eastAsia="ja-JP"/>
        </w:rPr>
        <w:t>月</w:t>
      </w:r>
      <w:r>
        <w:rPr>
          <w:lang w:eastAsia="ja-JP"/>
        </w:rPr>
        <w:t>28</w:t>
      </w:r>
      <w:r>
        <w:rPr>
          <w:lang w:eastAsia="ja-JP"/>
        </w:rPr>
        <w:t>日までに本事業を完了する。ただし、執行団体が</w:t>
      </w:r>
      <w:r>
        <w:rPr>
          <w:lang w:eastAsia="ja-JP"/>
        </w:rPr>
        <w:lastRenderedPageBreak/>
        <w:t>期限を変更した場合は、その期限に従う。不採択又は交付決定に至らなかった場合は、双方が実施の可否、範囲、方法及び工程を協議する。協議成立前は、双方に実施義務及</w:t>
      </w:r>
      <w:r>
        <w:rPr>
          <w:lang w:eastAsia="ja-JP"/>
        </w:rPr>
        <w:t>び相手方への費用請求権は生じない。</w:t>
      </w:r>
    </w:p>
    <w:p w:rsidR="00F0368D" w:rsidRDefault="00122B95">
      <w:pPr>
        <w:spacing w:before="100" w:after="0"/>
        <w:rPr>
          <w:lang w:eastAsia="ja-JP"/>
        </w:rPr>
      </w:pPr>
      <w:r>
        <w:rPr>
          <w:b/>
          <w:lang w:eastAsia="ja-JP"/>
        </w:rPr>
        <w:t>第</w:t>
      </w:r>
      <w:r>
        <w:rPr>
          <w:b/>
          <w:lang w:eastAsia="ja-JP"/>
        </w:rPr>
        <w:t>7</w:t>
      </w:r>
      <w:r>
        <w:rPr>
          <w:b/>
          <w:lang w:eastAsia="ja-JP"/>
        </w:rPr>
        <w:t>条（資料提供及び施設立入り）</w:t>
      </w:r>
    </w:p>
    <w:p w:rsidR="00F0368D" w:rsidRDefault="00122B95">
      <w:pPr>
        <w:spacing w:after="0"/>
        <w:ind w:left="227" w:firstLine="227"/>
        <w:rPr>
          <w:lang w:eastAsia="ja-JP"/>
        </w:rPr>
      </w:pPr>
      <w:r>
        <w:rPr>
          <w:lang w:eastAsia="ja-JP"/>
        </w:rPr>
        <w:t>甲が直接管理する施設について、甲は保有又は管理する資料の提供及び施設立入りの調整を行う。指定管理者等が管理する施設について、甲は連絡窓口となり、その権限の範囲で合理的な資料提供依頼及び立入り調整を行い、乙は必要資料及び条件を具体的に提示する。取得できない資料又は立入り不能箇所がある場合は、乙は推測で補完せず、その内容及び影響を明示し、双方で代替方法を協議する。</w:t>
      </w:r>
    </w:p>
    <w:p w:rsidR="00F0368D" w:rsidRDefault="00122B95">
      <w:pPr>
        <w:spacing w:before="100" w:after="0"/>
        <w:rPr>
          <w:lang w:eastAsia="ja-JP"/>
        </w:rPr>
      </w:pPr>
      <w:r>
        <w:rPr>
          <w:b/>
          <w:lang w:eastAsia="ja-JP"/>
        </w:rPr>
        <w:t>第</w:t>
      </w:r>
      <w:r>
        <w:rPr>
          <w:b/>
          <w:lang w:eastAsia="ja-JP"/>
        </w:rPr>
        <w:t>8</w:t>
      </w:r>
      <w:r>
        <w:rPr>
          <w:b/>
          <w:lang w:eastAsia="ja-JP"/>
        </w:rPr>
        <w:t>条（再委託）</w:t>
      </w:r>
    </w:p>
    <w:p w:rsidR="00F0368D" w:rsidRDefault="00122B95">
      <w:pPr>
        <w:spacing w:after="0"/>
        <w:ind w:left="227" w:firstLine="227"/>
        <w:rPr>
          <w:lang w:eastAsia="ja-JP"/>
        </w:rPr>
      </w:pPr>
      <w:r>
        <w:rPr>
          <w:lang w:eastAsia="ja-JP"/>
        </w:rPr>
        <w:t>乙は、本事業の全部又は中核業務を第三者に実施させてはならない</w:t>
      </w:r>
      <w:r>
        <w:rPr>
          <w:lang w:eastAsia="ja-JP"/>
        </w:rPr>
        <w:t>。専門的又は補助的な一部業務を再委託するときは、範囲、理由、再委託先及び管理方法を示し、あらかじめ甲の書面承認を得る。再委託先の行為及び成果については乙が責任を負う。</w:t>
      </w:r>
    </w:p>
    <w:p w:rsidR="00F0368D" w:rsidRDefault="00122B95">
      <w:pPr>
        <w:spacing w:before="100" w:after="0"/>
        <w:rPr>
          <w:lang w:eastAsia="ja-JP"/>
        </w:rPr>
      </w:pPr>
      <w:r>
        <w:rPr>
          <w:b/>
          <w:lang w:eastAsia="ja-JP"/>
        </w:rPr>
        <w:t>第</w:t>
      </w:r>
      <w:r>
        <w:rPr>
          <w:b/>
          <w:lang w:eastAsia="ja-JP"/>
        </w:rPr>
        <w:t>9</w:t>
      </w:r>
      <w:r>
        <w:rPr>
          <w:b/>
          <w:lang w:eastAsia="ja-JP"/>
        </w:rPr>
        <w:t>条（成果物、修補及び利用）</w:t>
      </w:r>
    </w:p>
    <w:p w:rsidR="00F0368D" w:rsidRDefault="00122B95">
      <w:pPr>
        <w:spacing w:after="0"/>
        <w:ind w:left="227" w:firstLine="227"/>
        <w:rPr>
          <w:lang w:eastAsia="ja-JP"/>
        </w:rPr>
      </w:pPr>
      <w:r>
        <w:rPr>
          <w:lang w:eastAsia="ja-JP"/>
        </w:rPr>
        <w:t>乙は、要求水準書及び双方が書面で確認した条件に従い成果物を作成し、別担当者による照査を行う。不備又は不適合がある場合、甲は合理的な期間を定めて無償の修補又は再履行を求めることができる。乙が従前から保有する知的財産権、汎用的ノウハウ及び営業秘密は乙に留保する。甲は、これらを除き、成果物を本事業並びに将来の設備導入</w:t>
      </w:r>
      <w:r>
        <w:rPr>
          <w:lang w:eastAsia="ja-JP"/>
        </w:rPr>
        <w:t>、設計、施工、</w:t>
      </w:r>
      <w:r>
        <w:rPr>
          <w:lang w:eastAsia="ja-JP"/>
        </w:rPr>
        <w:t>PPA</w:t>
      </w:r>
      <w:r>
        <w:rPr>
          <w:lang w:eastAsia="ja-JP"/>
        </w:rPr>
        <w:t>その他の事業者選定に必要な範囲で使用、複製、編集し、及び候補となる第三者へ開示又は提供できる。甲は、第三者へ開示する場合、必要に応じて当該第三者に適切な秘密保持義務を負わせる。</w:t>
      </w:r>
    </w:p>
    <w:p w:rsidR="00F0368D" w:rsidRDefault="00122B95">
      <w:pPr>
        <w:spacing w:before="100" w:after="0"/>
        <w:rPr>
          <w:lang w:eastAsia="ja-JP"/>
        </w:rPr>
      </w:pPr>
      <w:r>
        <w:rPr>
          <w:b/>
          <w:lang w:eastAsia="ja-JP"/>
        </w:rPr>
        <w:t>第</w:t>
      </w:r>
      <w:r>
        <w:rPr>
          <w:b/>
          <w:lang w:eastAsia="ja-JP"/>
        </w:rPr>
        <w:t>10</w:t>
      </w:r>
      <w:r>
        <w:rPr>
          <w:b/>
          <w:lang w:eastAsia="ja-JP"/>
        </w:rPr>
        <w:t>条（秘密保持及び情報管理）</w:t>
      </w:r>
    </w:p>
    <w:p w:rsidR="00F0368D" w:rsidRDefault="00122B95">
      <w:pPr>
        <w:spacing w:after="0"/>
        <w:ind w:left="227" w:firstLine="227"/>
        <w:rPr>
          <w:lang w:eastAsia="ja-JP"/>
        </w:rPr>
      </w:pPr>
      <w:r>
        <w:rPr>
          <w:lang w:eastAsia="ja-JP"/>
        </w:rPr>
        <w:t>双方は、本事業に関連して相手方から秘密である旨を明示して開示された情報及びその性質又は開示状況から合理的に秘密として取り扱うべき情報を、本事業以外の目的に使用し、又は相手方の承諾なく第三者へ開示してはならない。口頭で開示された情報は、開示時に秘密である旨を示し、開示後</w:t>
      </w:r>
      <w:r>
        <w:rPr>
          <w:lang w:eastAsia="ja-JP"/>
        </w:rPr>
        <w:t>14</w:t>
      </w:r>
      <w:r>
        <w:rPr>
          <w:lang w:eastAsia="ja-JP"/>
        </w:rPr>
        <w:t>日以内に</w:t>
      </w:r>
      <w:r>
        <w:rPr>
          <w:lang w:eastAsia="ja-JP"/>
        </w:rPr>
        <w:t>書面又は電子メールでその内容を特定した場合に秘密情報として取り扱う。ただし、法令、裁判所又は行政機関の命令に基づく場合、既に公知の情報又は正当に第三者から取得した情報を除く。個人情報及び施設の保安上重要な情報は、関係法令及び甲の情報管理基準に従い管理する。本事業終了後又は相手方から求められた場合は、法令又は補助制度上保存が必要なものを除き、秘密情報及びその複製物を返却し、又は復元できない方法で消去し、その実施結果を相手方へ報告する。</w:t>
      </w:r>
    </w:p>
    <w:p w:rsidR="00F0368D" w:rsidRDefault="00122B95">
      <w:pPr>
        <w:spacing w:before="100" w:after="0"/>
        <w:rPr>
          <w:lang w:eastAsia="ja-JP"/>
        </w:rPr>
      </w:pPr>
      <w:r>
        <w:rPr>
          <w:b/>
          <w:lang w:eastAsia="ja-JP"/>
        </w:rPr>
        <w:t>第</w:t>
      </w:r>
      <w:r>
        <w:rPr>
          <w:b/>
          <w:lang w:eastAsia="ja-JP"/>
        </w:rPr>
        <w:t>11</w:t>
      </w:r>
      <w:r>
        <w:rPr>
          <w:b/>
          <w:lang w:eastAsia="ja-JP"/>
        </w:rPr>
        <w:t>条（補助金返還等）</w:t>
      </w:r>
    </w:p>
    <w:p w:rsidR="00F0368D" w:rsidRDefault="00122B95">
      <w:pPr>
        <w:spacing w:after="0"/>
        <w:ind w:left="227" w:firstLine="227"/>
        <w:rPr>
          <w:lang w:eastAsia="ja-JP"/>
        </w:rPr>
      </w:pPr>
      <w:r>
        <w:rPr>
          <w:lang w:eastAsia="ja-JP"/>
        </w:rPr>
        <w:t>補助金の返還、減額又は対象外認定が生じた場合は、その原因が乙の責めに帰すべきときは乙、甲の責めに帰すべきときは甲が負担し、双方に原因があるときは寄与度に応じて分担する。双方の責めに帰することができない場合は、補助制度上の取扱い及び各当事者の管理可能性を踏まえて協議する。</w:t>
      </w:r>
    </w:p>
    <w:p w:rsidR="00F0368D" w:rsidRDefault="00122B95">
      <w:pPr>
        <w:spacing w:before="100" w:after="0"/>
        <w:rPr>
          <w:lang w:eastAsia="ja-JP"/>
        </w:rPr>
      </w:pPr>
      <w:r>
        <w:rPr>
          <w:b/>
          <w:lang w:eastAsia="ja-JP"/>
        </w:rPr>
        <w:t>第</w:t>
      </w:r>
      <w:r>
        <w:rPr>
          <w:b/>
          <w:lang w:eastAsia="ja-JP"/>
        </w:rPr>
        <w:t>12</w:t>
      </w:r>
      <w:r>
        <w:rPr>
          <w:b/>
          <w:lang w:eastAsia="ja-JP"/>
        </w:rPr>
        <w:t>条（損害賠償）</w:t>
      </w:r>
    </w:p>
    <w:p w:rsidR="00F0368D" w:rsidRDefault="00122B95">
      <w:pPr>
        <w:spacing w:after="0"/>
        <w:ind w:left="227" w:firstLine="227"/>
        <w:rPr>
          <w:lang w:eastAsia="ja-JP"/>
        </w:rPr>
      </w:pPr>
      <w:r>
        <w:rPr>
          <w:lang w:eastAsia="ja-JP"/>
        </w:rPr>
        <w:t>一方当事者が自己の責めに帰すべき事由により相手方へ損害を与えた場合は、現実に生じた直接かつ通常の損害を賠償する。賠償額の上限は、交付申請後は申請書記載の補助対象経費総額、交付申請前は双方が書面で確認した想定事業費とする</w:t>
      </w:r>
      <w:r>
        <w:rPr>
          <w:lang w:eastAsia="ja-JP"/>
        </w:rPr>
        <w:t>。ただし、故意又は重大な過失、人の生命若しくは身体への損害、秘密保持義務違反又は第三者の知的財産権侵害には上限を適用しない。双方は損害の防止及び軽減に協力する。</w:t>
      </w:r>
    </w:p>
    <w:p w:rsidR="00F02B1B" w:rsidRDefault="00F02B1B" w:rsidP="00F02B1B">
      <w:pPr>
        <w:spacing w:after="0"/>
        <w:rPr>
          <w:lang w:eastAsia="ja-JP"/>
        </w:rPr>
      </w:pPr>
    </w:p>
    <w:p w:rsidR="00F02B1B" w:rsidRDefault="00F02B1B" w:rsidP="00F02B1B">
      <w:pPr>
        <w:spacing w:after="0"/>
        <w:rPr>
          <w:rFonts w:hint="eastAsia"/>
          <w:lang w:eastAsia="ja-JP"/>
        </w:rPr>
      </w:pPr>
    </w:p>
    <w:p w:rsidR="00F0368D" w:rsidRDefault="00122B95">
      <w:pPr>
        <w:spacing w:before="100" w:after="0"/>
        <w:rPr>
          <w:lang w:eastAsia="ja-JP"/>
        </w:rPr>
      </w:pPr>
      <w:r>
        <w:rPr>
          <w:b/>
          <w:lang w:eastAsia="ja-JP"/>
        </w:rPr>
        <w:lastRenderedPageBreak/>
        <w:t>第</w:t>
      </w:r>
      <w:r>
        <w:rPr>
          <w:b/>
          <w:lang w:eastAsia="ja-JP"/>
        </w:rPr>
        <w:t>13</w:t>
      </w:r>
      <w:r>
        <w:rPr>
          <w:b/>
          <w:lang w:eastAsia="ja-JP"/>
        </w:rPr>
        <w:t>条（不可抗力及び二重請求の防止）</w:t>
      </w:r>
    </w:p>
    <w:p w:rsidR="00F0368D" w:rsidRDefault="00122B95">
      <w:pPr>
        <w:spacing w:after="0"/>
        <w:ind w:left="227" w:firstLine="227"/>
        <w:rPr>
          <w:lang w:eastAsia="ja-JP"/>
        </w:rPr>
      </w:pPr>
      <w:r>
        <w:rPr>
          <w:lang w:eastAsia="ja-JP"/>
        </w:rPr>
        <w:t>天災地変、法令若しくは補助制度の変更その他双方の責めに帰することができない事由が生じた場合、影響を受けた当事者は速やかに通知し、双方は期限、範囲、方法、一時中止又は終了を協議する。不可抗力により各当事者に生じた費用は原則として各自が負担する。同一損害について保険金、修補、再履行、第三者からの回収その他により填</w:t>
      </w:r>
      <w:r>
        <w:rPr>
          <w:lang w:eastAsia="ja-JP"/>
        </w:rPr>
        <w:t>補された額は損害額から控除し、重複請求をしない。</w:t>
      </w:r>
    </w:p>
    <w:p w:rsidR="00F02B1B" w:rsidRDefault="00F02B1B" w:rsidP="00F02B1B">
      <w:pPr>
        <w:spacing w:before="100" w:after="0"/>
        <w:rPr>
          <w:lang w:eastAsia="ja-JP"/>
        </w:rPr>
      </w:pPr>
      <w:r>
        <w:rPr>
          <w:b/>
          <w:lang w:eastAsia="ja-JP"/>
        </w:rPr>
        <w:t>第1</w:t>
      </w:r>
      <w:r>
        <w:rPr>
          <w:b/>
          <w:lang w:eastAsia="ja-JP"/>
        </w:rPr>
        <w:t>4</w:t>
      </w:r>
      <w:r>
        <w:rPr>
          <w:b/>
          <w:lang w:eastAsia="ja-JP"/>
        </w:rPr>
        <w:t>条（</w:t>
      </w:r>
      <w:r>
        <w:rPr>
          <w:rFonts w:hint="eastAsia"/>
          <w:b/>
          <w:lang w:eastAsia="ja-JP"/>
        </w:rPr>
        <w:t>解除及び終了</w:t>
      </w:r>
      <w:r>
        <w:rPr>
          <w:b/>
          <w:lang w:eastAsia="ja-JP"/>
        </w:rPr>
        <w:t>）</w:t>
      </w:r>
    </w:p>
    <w:p w:rsidR="00F02B1B" w:rsidRDefault="00F02B1B" w:rsidP="00F02B1B">
      <w:pPr>
        <w:spacing w:after="0"/>
        <w:ind w:left="227" w:firstLine="227"/>
        <w:rPr>
          <w:rFonts w:hint="eastAsia"/>
          <w:lang w:eastAsia="ja-JP"/>
        </w:rPr>
      </w:pPr>
      <w:r>
        <w:rPr>
          <w:rFonts w:hint="eastAsia"/>
          <w:lang w:eastAsia="ja-JP"/>
        </w:rPr>
        <w:t>一方当事者が本協定に重大な違反をし、相手方が合理的な期間を定めて是正を求めても是正しない場合、相手方は本協定を解除できる。資金立替能力を確認できない場合、補助金申請又は事業実施に必要な条件を満たさない場合、支払停止、破産手続開始、民事再生手続開始その他信用状態に重大な不安が生じた場合は、相手方は催告なく解除できる。不採択又は交付決定に至らず、双方の協議により事業を実施しないことを決定した場合、本協定はその決定日に終了する。解除又は終了は、既に生じた費用負担、補助金返還、損害賠償及び秘密保持に関する責任に影響しない。</w:t>
      </w:r>
    </w:p>
    <w:p w:rsidR="00F02B1B" w:rsidRDefault="00F02B1B" w:rsidP="00F02B1B">
      <w:pPr>
        <w:spacing w:before="100" w:after="0"/>
        <w:rPr>
          <w:lang w:eastAsia="ja-JP"/>
        </w:rPr>
      </w:pPr>
      <w:r>
        <w:rPr>
          <w:b/>
          <w:lang w:eastAsia="ja-JP"/>
        </w:rPr>
        <w:t>第1</w:t>
      </w:r>
      <w:r>
        <w:rPr>
          <w:b/>
          <w:lang w:eastAsia="ja-JP"/>
        </w:rPr>
        <w:t>5</w:t>
      </w:r>
      <w:r>
        <w:rPr>
          <w:b/>
          <w:lang w:eastAsia="ja-JP"/>
        </w:rPr>
        <w:t>条（</w:t>
      </w:r>
      <w:r>
        <w:rPr>
          <w:rFonts w:hint="eastAsia"/>
          <w:b/>
          <w:lang w:eastAsia="ja-JP"/>
        </w:rPr>
        <w:t>反社会的勢力の排除</w:t>
      </w:r>
      <w:r>
        <w:rPr>
          <w:b/>
          <w:lang w:eastAsia="ja-JP"/>
        </w:rPr>
        <w:t>）</w:t>
      </w:r>
    </w:p>
    <w:p w:rsidR="00F02B1B" w:rsidRDefault="00F02B1B" w:rsidP="00F02B1B">
      <w:pPr>
        <w:spacing w:after="0"/>
        <w:ind w:left="227" w:firstLine="227"/>
        <w:rPr>
          <w:rFonts w:hint="eastAsia"/>
          <w:lang w:eastAsia="ja-JP"/>
        </w:rPr>
      </w:pPr>
      <w:r>
        <w:rPr>
          <w:rFonts w:hint="eastAsia"/>
          <w:lang w:eastAsia="ja-JP"/>
        </w:rPr>
        <w:t>甲及び乙は、自ら並びにその役員及び実質的に経営を支配する者が、暴力団、暴力団員その他の反社会的勢力に該当せず、これらと社会的に非難されるべき関係を有しないことを表明し、保証する。一方当事者がこれに違反した場合、相手方は催告なく本協定を解除できる。解除した当事者は、これにより違反当事者に生じた損害を賠償する責任を負わず、違反当事者は、当該違反又は解除により相手方に生じた損害を賠償する。</w:t>
      </w:r>
    </w:p>
    <w:p w:rsidR="00F02B1B" w:rsidRDefault="00F02B1B" w:rsidP="00F02B1B">
      <w:pPr>
        <w:spacing w:before="100" w:after="0"/>
        <w:rPr>
          <w:lang w:eastAsia="ja-JP"/>
        </w:rPr>
      </w:pPr>
      <w:r>
        <w:rPr>
          <w:b/>
          <w:lang w:eastAsia="ja-JP"/>
        </w:rPr>
        <w:t>第1</w:t>
      </w:r>
      <w:r>
        <w:rPr>
          <w:b/>
          <w:lang w:eastAsia="ja-JP"/>
        </w:rPr>
        <w:t>6</w:t>
      </w:r>
      <w:r>
        <w:rPr>
          <w:b/>
          <w:lang w:eastAsia="ja-JP"/>
        </w:rPr>
        <w:t>条（</w:t>
      </w:r>
      <w:r>
        <w:rPr>
          <w:rFonts w:hint="eastAsia"/>
          <w:b/>
          <w:lang w:eastAsia="ja-JP"/>
        </w:rPr>
        <w:t>有効期間及び存続条項</w:t>
      </w:r>
      <w:r>
        <w:rPr>
          <w:b/>
          <w:lang w:eastAsia="ja-JP"/>
        </w:rPr>
        <w:t>）</w:t>
      </w:r>
    </w:p>
    <w:p w:rsidR="00F02B1B" w:rsidRDefault="00F02B1B" w:rsidP="00F02B1B">
      <w:pPr>
        <w:spacing w:after="0"/>
        <w:ind w:left="227" w:firstLine="227"/>
        <w:rPr>
          <w:rFonts w:hint="eastAsia"/>
          <w:lang w:eastAsia="ja-JP"/>
        </w:rPr>
      </w:pPr>
      <w:r>
        <w:rPr>
          <w:rFonts w:hint="eastAsia"/>
          <w:lang w:eastAsia="ja-JP"/>
        </w:rPr>
        <w:t>本協定の有効期間は締結日から本事業及び補助制度上必要な報告が完了する日までとする。第9条、第1</w:t>
      </w:r>
      <w:r>
        <w:rPr>
          <w:lang w:eastAsia="ja-JP"/>
        </w:rPr>
        <w:t>0</w:t>
      </w:r>
      <w:r>
        <w:rPr>
          <w:rFonts w:hint="eastAsia"/>
          <w:lang w:eastAsia="ja-JP"/>
        </w:rPr>
        <w:t>条、第1</w:t>
      </w:r>
      <w:r>
        <w:rPr>
          <w:lang w:eastAsia="ja-JP"/>
        </w:rPr>
        <w:t>1</w:t>
      </w:r>
      <w:r>
        <w:rPr>
          <w:rFonts w:hint="eastAsia"/>
          <w:lang w:eastAsia="ja-JP"/>
        </w:rPr>
        <w:t>条、第1</w:t>
      </w:r>
      <w:r>
        <w:rPr>
          <w:lang w:eastAsia="ja-JP"/>
        </w:rPr>
        <w:t>2</w:t>
      </w:r>
      <w:r>
        <w:rPr>
          <w:rFonts w:hint="eastAsia"/>
          <w:lang w:eastAsia="ja-JP"/>
        </w:rPr>
        <w:t>条及び前条の規定は、本協定終了後もその性質上必要な範囲で存続する。</w:t>
      </w:r>
    </w:p>
    <w:p w:rsidR="00F02B1B" w:rsidRDefault="00F02B1B" w:rsidP="00F02B1B">
      <w:pPr>
        <w:spacing w:before="100" w:after="0"/>
        <w:rPr>
          <w:lang w:eastAsia="ja-JP"/>
        </w:rPr>
      </w:pPr>
      <w:r>
        <w:rPr>
          <w:b/>
          <w:lang w:eastAsia="ja-JP"/>
        </w:rPr>
        <w:t>第1</w:t>
      </w:r>
      <w:r>
        <w:rPr>
          <w:b/>
          <w:lang w:eastAsia="ja-JP"/>
        </w:rPr>
        <w:t>7</w:t>
      </w:r>
      <w:r>
        <w:rPr>
          <w:b/>
          <w:lang w:eastAsia="ja-JP"/>
        </w:rPr>
        <w:t>条（</w:t>
      </w:r>
      <w:r w:rsidR="00122B95">
        <w:rPr>
          <w:rFonts w:hint="eastAsia"/>
          <w:b/>
          <w:lang w:eastAsia="ja-JP"/>
        </w:rPr>
        <w:t>合意管轄</w:t>
      </w:r>
      <w:r>
        <w:rPr>
          <w:b/>
          <w:lang w:eastAsia="ja-JP"/>
        </w:rPr>
        <w:t>）</w:t>
      </w:r>
    </w:p>
    <w:p w:rsidR="00F02B1B" w:rsidRDefault="00122B95" w:rsidP="00F02B1B">
      <w:pPr>
        <w:spacing w:after="0"/>
        <w:ind w:left="227" w:firstLine="227"/>
        <w:rPr>
          <w:rFonts w:hint="eastAsia"/>
          <w:lang w:eastAsia="ja-JP"/>
        </w:rPr>
      </w:pPr>
      <w:r>
        <w:rPr>
          <w:rFonts w:hint="eastAsia"/>
          <w:lang w:eastAsia="ja-JP"/>
        </w:rPr>
        <w:t>本協定に関して訴訟の必要が生じた場合は、奈良地方裁判所を第一審の専属的合意管轄裁判所とする。</w:t>
      </w:r>
    </w:p>
    <w:p w:rsidR="00F02B1B" w:rsidRDefault="00F02B1B" w:rsidP="00F02B1B">
      <w:pPr>
        <w:spacing w:before="100" w:after="0"/>
        <w:rPr>
          <w:lang w:eastAsia="ja-JP"/>
        </w:rPr>
      </w:pPr>
      <w:r>
        <w:rPr>
          <w:b/>
          <w:lang w:eastAsia="ja-JP"/>
        </w:rPr>
        <w:t>第1</w:t>
      </w:r>
      <w:r>
        <w:rPr>
          <w:b/>
          <w:lang w:eastAsia="ja-JP"/>
        </w:rPr>
        <w:t>8</w:t>
      </w:r>
      <w:r>
        <w:rPr>
          <w:b/>
          <w:lang w:eastAsia="ja-JP"/>
        </w:rPr>
        <w:t>条（</w:t>
      </w:r>
      <w:r w:rsidR="00122B95">
        <w:rPr>
          <w:rFonts w:hint="eastAsia"/>
          <w:b/>
          <w:lang w:eastAsia="ja-JP"/>
        </w:rPr>
        <w:t>協議</w:t>
      </w:r>
      <w:r>
        <w:rPr>
          <w:b/>
          <w:lang w:eastAsia="ja-JP"/>
        </w:rPr>
        <w:t>）</w:t>
      </w:r>
    </w:p>
    <w:p w:rsidR="00F02B1B" w:rsidRDefault="00122B95" w:rsidP="00F02B1B">
      <w:pPr>
        <w:spacing w:after="0"/>
        <w:ind w:left="227" w:firstLine="227"/>
        <w:rPr>
          <w:lang w:eastAsia="ja-JP"/>
        </w:rPr>
      </w:pPr>
      <w:r>
        <w:rPr>
          <w:rFonts w:hint="eastAsia"/>
          <w:lang w:eastAsia="ja-JP"/>
        </w:rPr>
        <w:t>本協定に定めのない事項又は解釈に疑義が生じた事項は、法令及び補助制度上の定めを踏まえ、双方が誠実に協議して定める。</w:t>
      </w:r>
    </w:p>
    <w:p w:rsidR="00F02B1B" w:rsidRDefault="00F02B1B" w:rsidP="00F02B1B">
      <w:pPr>
        <w:spacing w:after="0"/>
        <w:ind w:left="227" w:firstLine="227"/>
        <w:rPr>
          <w:lang w:eastAsia="ja-JP"/>
        </w:rPr>
      </w:pPr>
    </w:p>
    <w:p w:rsidR="00F0368D" w:rsidRDefault="00122B95">
      <w:pPr>
        <w:spacing w:after="0"/>
        <w:rPr>
          <w:lang w:eastAsia="ja-JP"/>
        </w:rPr>
      </w:pPr>
      <w:r>
        <w:rPr>
          <w:lang w:eastAsia="ja-JP"/>
        </w:rPr>
        <w:t xml:space="preserve">　本協定締結の証として本書</w:t>
      </w:r>
      <w:r>
        <w:rPr>
          <w:lang w:eastAsia="ja-JP"/>
        </w:rPr>
        <w:t>2</w:t>
      </w:r>
      <w:r>
        <w:rPr>
          <w:lang w:eastAsia="ja-JP"/>
        </w:rPr>
        <w:t>通を作成し、甲乙記名押</w:t>
      </w:r>
      <w:r>
        <w:rPr>
          <w:lang w:eastAsia="ja-JP"/>
        </w:rPr>
        <w:t>印の上、各</w:t>
      </w:r>
      <w:r>
        <w:rPr>
          <w:lang w:eastAsia="ja-JP"/>
        </w:rPr>
        <w:t>1</w:t>
      </w:r>
      <w:r>
        <w:rPr>
          <w:lang w:eastAsia="ja-JP"/>
        </w:rPr>
        <w:t>通を保有する。</w:t>
      </w:r>
    </w:p>
    <w:p w:rsidR="00122B95" w:rsidRDefault="00122B95" w:rsidP="00122B95">
      <w:pPr>
        <w:spacing w:after="0"/>
      </w:pPr>
    </w:p>
    <w:p w:rsidR="00F0368D" w:rsidRDefault="00122B95" w:rsidP="00122B95">
      <w:pPr>
        <w:spacing w:after="0"/>
      </w:pPr>
      <w:proofErr w:type="spellStart"/>
      <w:r>
        <w:t>令和</w:t>
      </w:r>
      <w:proofErr w:type="spellEnd"/>
      <w:r>
        <w:t xml:space="preserve">　年　月　日</w:t>
      </w:r>
    </w:p>
    <w:tbl>
      <w:tblPr>
        <w:tblW w:w="0" w:type="auto"/>
        <w:jc w:val="center"/>
        <w:tblLook w:val="04A0" w:firstRow="1" w:lastRow="0" w:firstColumn="1" w:lastColumn="0" w:noHBand="0" w:noVBand="1"/>
      </w:tblPr>
      <w:tblGrid>
        <w:gridCol w:w="4873"/>
        <w:gridCol w:w="4873"/>
      </w:tblGrid>
      <w:tr w:rsidR="00F0368D">
        <w:trPr>
          <w:trHeight w:val="1587"/>
          <w:jc w:val="center"/>
        </w:trPr>
        <w:tc>
          <w:tcPr>
            <w:tcW w:w="4873" w:type="dxa"/>
            <w:tcBorders>
              <w:top w:val="nil"/>
              <w:left w:val="nil"/>
              <w:bottom w:val="nil"/>
              <w:right w:val="nil"/>
            </w:tcBorders>
            <w:vAlign w:val="center"/>
          </w:tcPr>
          <w:p w:rsidR="00F0368D" w:rsidRDefault="00122B95">
            <w:pPr>
              <w:spacing w:after="0"/>
            </w:pPr>
            <w:r>
              <w:t>甲</w:t>
            </w:r>
          </w:p>
        </w:tc>
        <w:tc>
          <w:tcPr>
            <w:tcW w:w="4873" w:type="dxa"/>
            <w:tcBorders>
              <w:top w:val="nil"/>
              <w:left w:val="nil"/>
              <w:bottom w:val="nil"/>
              <w:right w:val="nil"/>
            </w:tcBorders>
            <w:vAlign w:val="center"/>
          </w:tcPr>
          <w:p w:rsidR="00F0368D" w:rsidRDefault="00122B95">
            <w:pPr>
              <w:spacing w:after="0"/>
            </w:pPr>
            <w:r>
              <w:t>奈良県北葛城郡上牧町大字上牧</w:t>
            </w:r>
            <w:r>
              <w:t>3350</w:t>
            </w:r>
            <w:r>
              <w:t>番地</w:t>
            </w:r>
            <w:r>
              <w:br/>
            </w:r>
            <w:r>
              <w:t>上牧町</w:t>
            </w:r>
            <w:r>
              <w:br/>
            </w:r>
            <w:r>
              <w:t>上牧町長　　　　　　　　　　　　　印</w:t>
            </w:r>
          </w:p>
        </w:tc>
      </w:tr>
      <w:tr w:rsidR="00F0368D">
        <w:trPr>
          <w:trHeight w:val="1587"/>
          <w:jc w:val="center"/>
        </w:trPr>
        <w:tc>
          <w:tcPr>
            <w:tcW w:w="4873" w:type="dxa"/>
            <w:tcBorders>
              <w:top w:val="nil"/>
              <w:left w:val="nil"/>
              <w:bottom w:val="nil"/>
              <w:right w:val="nil"/>
            </w:tcBorders>
            <w:vAlign w:val="center"/>
          </w:tcPr>
          <w:p w:rsidR="00F0368D" w:rsidRDefault="00122B95">
            <w:pPr>
              <w:spacing w:after="0"/>
            </w:pPr>
            <w:r>
              <w:t>乙</w:t>
            </w:r>
          </w:p>
        </w:tc>
        <w:tc>
          <w:tcPr>
            <w:tcW w:w="4873" w:type="dxa"/>
            <w:tcBorders>
              <w:top w:val="nil"/>
              <w:left w:val="nil"/>
              <w:bottom w:val="nil"/>
              <w:right w:val="nil"/>
            </w:tcBorders>
            <w:vAlign w:val="center"/>
          </w:tcPr>
          <w:p w:rsidR="00F0368D" w:rsidRDefault="00122B95">
            <w:pPr>
              <w:spacing w:after="0"/>
              <w:rPr>
                <w:lang w:eastAsia="ja-JP"/>
              </w:rPr>
            </w:pPr>
            <w:r>
              <w:rPr>
                <w:lang w:eastAsia="ja-JP"/>
              </w:rPr>
              <w:t>所在地</w:t>
            </w:r>
            <w:r>
              <w:rPr>
                <w:lang w:eastAsia="ja-JP"/>
              </w:rPr>
              <w:br/>
            </w:r>
            <w:r>
              <w:rPr>
                <w:lang w:eastAsia="ja-JP"/>
              </w:rPr>
              <w:t>商号又は名称</w:t>
            </w:r>
            <w:r>
              <w:rPr>
                <w:lang w:eastAsia="ja-JP"/>
              </w:rPr>
              <w:br/>
            </w:r>
            <w:r>
              <w:rPr>
                <w:lang w:eastAsia="ja-JP"/>
              </w:rPr>
              <w:t>代表者役職・氏名　　　　　　　　　印</w:t>
            </w:r>
          </w:p>
        </w:tc>
      </w:tr>
    </w:tbl>
    <w:p w:rsidR="00000000" w:rsidRDefault="00122B95">
      <w:pPr>
        <w:rPr>
          <w:rFonts w:hint="eastAsia"/>
          <w:lang w:eastAsia="ja-JP"/>
        </w:rPr>
      </w:pPr>
    </w:p>
    <w:sectPr w:rsidR="00000000" w:rsidSect="00034616">
      <w:headerReference w:type="even" r:id="rId8"/>
      <w:headerReference w:type="default" r:id="rId9"/>
      <w:footerReference w:type="even" r:id="rId10"/>
      <w:footerReference w:type="default" r:id="rId11"/>
      <w:headerReference w:type="first" r:id="rId12"/>
      <w:footerReference w:type="first" r:id="rId13"/>
      <w:pgSz w:w="12240" w:h="15840"/>
      <w:pgMar w:top="1134" w:right="1247"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122B95">
      <w:pPr>
        <w:spacing w:after="0" w:line="240" w:lineRule="auto"/>
      </w:pPr>
      <w:r>
        <w:separator/>
      </w:r>
    </w:p>
  </w:endnote>
  <w:endnote w:type="continuationSeparator" w:id="0">
    <w:p w:rsidR="00000000" w:rsidRDefault="00122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68D" w:rsidRDefault="00F0368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68D" w:rsidRDefault="00F0368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68D" w:rsidRDefault="00F0368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122B95">
      <w:pPr>
        <w:spacing w:after="0" w:line="240" w:lineRule="auto"/>
      </w:pPr>
      <w:r>
        <w:separator/>
      </w:r>
    </w:p>
  </w:footnote>
  <w:footnote w:type="continuationSeparator" w:id="0">
    <w:p w:rsidR="00000000" w:rsidRDefault="00122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68D" w:rsidRDefault="00F0368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68D" w:rsidRDefault="00F0368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68D" w:rsidRDefault="00F0368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B95"/>
    <w:rsid w:val="0015074B"/>
    <w:rsid w:val="0029639D"/>
    <w:rsid w:val="00326F90"/>
    <w:rsid w:val="00AA1D8D"/>
    <w:rsid w:val="00B47730"/>
    <w:rsid w:val="00CB0664"/>
    <w:rsid w:val="00F02B1B"/>
    <w:rsid w:val="00F036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504305A"/>
  <w14:defaultImageDpi w14:val="300"/>
  <w15:docId w15:val="{D0A00D0A-9F9F-4722-B22E-FBA3300FF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rPr>
      <w:rFonts w:ascii="ＭＳ 明朝" w:eastAsia="ＭＳ 明朝" w:hAnsi="ＭＳ 明朝" w:cs="ＭＳ 明朝"/>
      <w:color w:val="00000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color w:val="000000"/>
      <w:sz w:val="21"/>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color w:val="000000"/>
      <w:sz w:val="21"/>
    </w:rPr>
  </w:style>
  <w:style w:type="paragraph" w:styleId="a9">
    <w:name w:val="No Spacing"/>
    <w:uiPriority w:val="1"/>
    <w:qFormat/>
    <w:rsid w:val="00FC693F"/>
    <w:pPr>
      <w:spacing w:after="0" w:line="240" w:lineRule="auto"/>
    </w:pPr>
    <w:rPr>
      <w:rFonts w:ascii="ＭＳ 明朝" w:eastAsia="ＭＳ 明朝" w:hAnsi="ＭＳ 明朝" w:cs="ＭＳ 明朝"/>
      <w:color w:val="000000"/>
    </w:rPr>
  </w:style>
  <w:style w:type="character" w:customStyle="1" w:styleId="10">
    <w:name w:val="見出し 1 (文字)"/>
    <w:basedOn w:val="a2"/>
    <w:link w:val="1"/>
    <w:uiPriority w:val="9"/>
    <w:rsid w:val="00FC693F"/>
    <w:rPr>
      <w:rFonts w:asciiTheme="majorHAnsi" w:eastAsiaTheme="majorEastAsia" w:hAnsiTheme="majorHAnsi" w:cstheme="majorBidi"/>
      <w:b/>
      <w:bCs/>
      <w:color w:val="000000"/>
      <w:sz w:val="21"/>
      <w:szCs w:val="21"/>
    </w:rPr>
  </w:style>
  <w:style w:type="character" w:customStyle="1" w:styleId="22">
    <w:name w:val="見出し 2 (文字)"/>
    <w:basedOn w:val="a2"/>
    <w:link w:val="21"/>
    <w:uiPriority w:val="9"/>
    <w:rsid w:val="00FC693F"/>
    <w:rPr>
      <w:rFonts w:asciiTheme="majorHAnsi" w:eastAsiaTheme="majorEastAsia" w:hAnsiTheme="majorHAnsi" w:cstheme="majorBidi"/>
      <w:b/>
      <w:bCs/>
      <w:color w:val="000000"/>
      <w:sz w:val="21"/>
      <w:szCs w:val="21"/>
    </w:rPr>
  </w:style>
  <w:style w:type="character" w:customStyle="1" w:styleId="32">
    <w:name w:val="見出し 3 (文字)"/>
    <w:basedOn w:val="a2"/>
    <w:link w:val="31"/>
    <w:uiPriority w:val="9"/>
    <w:rsid w:val="00FC693F"/>
    <w:rPr>
      <w:rFonts w:asciiTheme="majorHAnsi" w:eastAsiaTheme="majorEastAsia" w:hAnsiTheme="majorHAnsi" w:cstheme="majorBidi"/>
      <w:b/>
      <w:bCs/>
      <w:color w:val="000000"/>
      <w:sz w:val="2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rPr>
  </w:style>
  <w:style w:type="character" w:customStyle="1" w:styleId="ab">
    <w:name w:val="表題 (文字)"/>
    <w:basedOn w:val="a2"/>
    <w:link w:val="aa"/>
    <w:uiPriority w:val="10"/>
    <w:rsid w:val="00FC693F"/>
    <w:rPr>
      <w:rFonts w:asciiTheme="majorHAnsi" w:eastAsiaTheme="majorEastAsia" w:hAnsiTheme="majorHAnsi" w:cstheme="majorBidi"/>
      <w:color w:val="000000"/>
      <w:spacing w:val="5"/>
      <w:kern w:val="28"/>
      <w:sz w:val="21"/>
      <w:szCs w:val="21"/>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rPr>
  </w:style>
  <w:style w:type="character" w:customStyle="1" w:styleId="ad">
    <w:name w:val="副題 (文字)"/>
    <w:basedOn w:val="a2"/>
    <w:link w:val="ac"/>
    <w:uiPriority w:val="11"/>
    <w:rsid w:val="00FC693F"/>
    <w:rPr>
      <w:rFonts w:asciiTheme="majorHAnsi" w:eastAsiaTheme="majorEastAsia" w:hAnsiTheme="majorHAnsi" w:cstheme="majorBidi"/>
      <w:i/>
      <w:iCs/>
      <w:color w:val="000000"/>
      <w:spacing w:val="15"/>
      <w:sz w:val="21"/>
      <w:szCs w:val="21"/>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color w:val="000000"/>
      <w:sz w:val="21"/>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color w:val="000000"/>
      <w:sz w:val="21"/>
    </w:rPr>
  </w:style>
  <w:style w:type="paragraph" w:styleId="33">
    <w:name w:val="Body Text 3"/>
    <w:basedOn w:val="a1"/>
    <w:link w:val="34"/>
    <w:uiPriority w:val="99"/>
    <w:unhideWhenUsed/>
    <w:rsid w:val="00AA1D8D"/>
    <w:pPr>
      <w:spacing w:after="120"/>
    </w:pPr>
  </w:style>
  <w:style w:type="character" w:customStyle="1" w:styleId="34">
    <w:name w:val="本文 3 (文字)"/>
    <w:basedOn w:val="a2"/>
    <w:link w:val="33"/>
    <w:uiPriority w:val="99"/>
    <w:rsid w:val="00AA1D8D"/>
    <w:rPr>
      <w:rFonts w:ascii="ＭＳ 明朝" w:eastAsia="ＭＳ 明朝" w:hAnsi="ＭＳ 明朝" w:cs="ＭＳ 明朝"/>
      <w:color w:val="000000"/>
      <w:sz w:val="21"/>
      <w:szCs w:val="21"/>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ＭＳ 明朝" w:eastAsia="ＭＳ 明朝" w:hAnsi="ＭＳ 明朝" w:cs="ＭＳ 明朝"/>
      <w:color w:val="000000"/>
    </w:rPr>
  </w:style>
  <w:style w:type="character" w:customStyle="1" w:styleId="af4">
    <w:name w:val="マクロ文字列 (文字)"/>
    <w:basedOn w:val="a2"/>
    <w:link w:val="af3"/>
    <w:uiPriority w:val="99"/>
    <w:rsid w:val="0029639D"/>
    <w:rPr>
      <w:rFonts w:ascii="ＭＳ 明朝" w:eastAsia="ＭＳ 明朝" w:hAnsi="ＭＳ 明朝" w:cs="ＭＳ 明朝"/>
      <w:color w:val="000000"/>
      <w:sz w:val="21"/>
      <w:szCs w:val="21"/>
    </w:rPr>
  </w:style>
  <w:style w:type="paragraph" w:styleId="af5">
    <w:name w:val="Quote"/>
    <w:basedOn w:val="a1"/>
    <w:next w:val="a1"/>
    <w:link w:val="af6"/>
    <w:uiPriority w:val="29"/>
    <w:qFormat/>
    <w:rsid w:val="00FC693F"/>
    <w:rPr>
      <w:i/>
      <w:iCs/>
    </w:rPr>
  </w:style>
  <w:style w:type="character" w:customStyle="1" w:styleId="af6">
    <w:name w:val="引用文 (文字)"/>
    <w:basedOn w:val="a2"/>
    <w:link w:val="af5"/>
    <w:uiPriority w:val="29"/>
    <w:rsid w:val="00FC693F"/>
    <w:rPr>
      <w:rFonts w:ascii="ＭＳ 明朝" w:eastAsia="ＭＳ 明朝" w:hAnsi="ＭＳ 明朝" w:cs="ＭＳ 明朝"/>
      <w:i/>
      <w:iCs/>
      <w:color w:val="000000"/>
      <w:sz w:val="2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000000"/>
      <w:sz w:val="2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000000"/>
      <w:sz w:val="21"/>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000000"/>
      <w:sz w:val="21"/>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000000"/>
      <w:sz w:val="21"/>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000000"/>
      <w:sz w:val="21"/>
      <w:szCs w:val="21"/>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000000"/>
      <w:sz w:val="21"/>
      <w:szCs w:val="21"/>
    </w:rPr>
  </w:style>
  <w:style w:type="paragraph" w:styleId="af7">
    <w:name w:val="caption"/>
    <w:basedOn w:val="a1"/>
    <w:next w:val="a1"/>
    <w:uiPriority w:val="35"/>
    <w:semiHidden/>
    <w:unhideWhenUsed/>
    <w:qFormat/>
    <w:rsid w:val="00FC693F"/>
    <w:pPr>
      <w:spacing w:line="240" w:lineRule="auto"/>
    </w:pPr>
    <w:rPr>
      <w:b/>
      <w:bCs/>
    </w:rPr>
  </w:style>
  <w:style w:type="character" w:styleId="af8">
    <w:name w:val="Strong"/>
    <w:basedOn w:val="a2"/>
    <w:uiPriority w:val="22"/>
    <w:qFormat/>
    <w:rsid w:val="00FC693F"/>
    <w:rPr>
      <w:rFonts w:ascii="ＭＳ 明朝" w:eastAsia="ＭＳ 明朝" w:hAnsi="ＭＳ 明朝" w:cs="ＭＳ 明朝"/>
      <w:b/>
      <w:bCs/>
      <w:color w:val="000000"/>
      <w:sz w:val="21"/>
    </w:rPr>
  </w:style>
  <w:style w:type="character" w:styleId="af9">
    <w:name w:val="Emphasis"/>
    <w:basedOn w:val="a2"/>
    <w:uiPriority w:val="20"/>
    <w:qFormat/>
    <w:rsid w:val="00FC693F"/>
    <w:rPr>
      <w:rFonts w:ascii="ＭＳ 明朝" w:eastAsia="ＭＳ 明朝" w:hAnsi="ＭＳ 明朝" w:cs="ＭＳ 明朝"/>
      <w:i/>
      <w:iCs/>
      <w:color w:val="000000"/>
      <w:sz w:val="21"/>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rPr>
  </w:style>
  <w:style w:type="character" w:customStyle="1" w:styleId="28">
    <w:name w:val="引用文 2 (文字)"/>
    <w:basedOn w:val="a2"/>
    <w:link w:val="27"/>
    <w:uiPriority w:val="30"/>
    <w:rsid w:val="00FC693F"/>
    <w:rPr>
      <w:rFonts w:ascii="ＭＳ 明朝" w:eastAsia="ＭＳ 明朝" w:hAnsi="ＭＳ 明朝" w:cs="ＭＳ 明朝"/>
      <w:b/>
      <w:bCs/>
      <w:i/>
      <w:iCs/>
      <w:color w:val="000000"/>
      <w:sz w:val="21"/>
    </w:rPr>
  </w:style>
  <w:style w:type="character" w:styleId="afa">
    <w:name w:val="Subtle Emphasis"/>
    <w:basedOn w:val="a2"/>
    <w:uiPriority w:val="19"/>
    <w:qFormat/>
    <w:rsid w:val="00FC693F"/>
    <w:rPr>
      <w:rFonts w:ascii="ＭＳ 明朝" w:eastAsia="ＭＳ 明朝" w:hAnsi="ＭＳ 明朝" w:cs="ＭＳ 明朝"/>
      <w:i/>
      <w:iCs/>
      <w:color w:val="000000"/>
      <w:sz w:val="21"/>
    </w:rPr>
  </w:style>
  <w:style w:type="character" w:styleId="29">
    <w:name w:val="Intense Emphasis"/>
    <w:basedOn w:val="a2"/>
    <w:uiPriority w:val="21"/>
    <w:qFormat/>
    <w:rsid w:val="00FC693F"/>
    <w:rPr>
      <w:rFonts w:ascii="ＭＳ 明朝" w:eastAsia="ＭＳ 明朝" w:hAnsi="ＭＳ 明朝" w:cs="ＭＳ 明朝"/>
      <w:b/>
      <w:bCs/>
      <w:i/>
      <w:iCs/>
      <w:color w:val="000000"/>
      <w:sz w:val="21"/>
    </w:rPr>
  </w:style>
  <w:style w:type="character" w:styleId="afb">
    <w:name w:val="Subtle Reference"/>
    <w:basedOn w:val="a2"/>
    <w:uiPriority w:val="31"/>
    <w:qFormat/>
    <w:rsid w:val="00FC693F"/>
    <w:rPr>
      <w:rFonts w:ascii="ＭＳ 明朝" w:eastAsia="ＭＳ 明朝" w:hAnsi="ＭＳ 明朝" w:cs="ＭＳ 明朝"/>
      <w:smallCaps/>
      <w:color w:val="000000"/>
      <w:sz w:val="21"/>
      <w:u w:val="single"/>
    </w:rPr>
  </w:style>
  <w:style w:type="character" w:styleId="2a">
    <w:name w:val="Intense Reference"/>
    <w:basedOn w:val="a2"/>
    <w:uiPriority w:val="32"/>
    <w:qFormat/>
    <w:rsid w:val="00FC693F"/>
    <w:rPr>
      <w:rFonts w:ascii="ＭＳ 明朝" w:eastAsia="ＭＳ 明朝" w:hAnsi="ＭＳ 明朝" w:cs="ＭＳ 明朝"/>
      <w:b/>
      <w:bCs/>
      <w:smallCaps/>
      <w:color w:val="000000"/>
      <w:spacing w:val="5"/>
      <w:sz w:val="21"/>
      <w:u w:val="single"/>
    </w:rPr>
  </w:style>
  <w:style w:type="character" w:styleId="afc">
    <w:name w:val="Book Title"/>
    <w:basedOn w:val="a2"/>
    <w:uiPriority w:val="33"/>
    <w:qFormat/>
    <w:rsid w:val="00FC693F"/>
    <w:rPr>
      <w:rFonts w:ascii="ＭＳ 明朝" w:eastAsia="ＭＳ 明朝" w:hAnsi="ＭＳ 明朝" w:cs="ＭＳ 明朝"/>
      <w:b/>
      <w:bCs/>
      <w:smallCaps/>
      <w:color w:val="000000"/>
      <w:spacing w:val="5"/>
      <w:sz w:val="21"/>
    </w:rPr>
  </w:style>
  <w:style w:type="paragraph" w:styleId="afd">
    <w:name w:val="TOC Heading"/>
    <w:basedOn w:val="1"/>
    <w:next w:val="a1"/>
    <w:uiPriority w:val="39"/>
    <w:semiHidden/>
    <w:unhideWhenUsed/>
    <w:qFormat/>
    <w:rsid w:val="00FC693F"/>
    <w:pPr>
      <w:outlineLvl w:val="9"/>
    </w:pPr>
    <w:rPr>
      <w:rFonts w:ascii="ＭＳ 明朝" w:eastAsia="ＭＳ 明朝" w:hAnsi="ＭＳ 明朝" w:cs="ＭＳ 明朝"/>
    </w:rPr>
  </w:style>
  <w:style w:type="table" w:styleId="afe">
    <w:name w:val="Table Grid"/>
    <w:basedOn w:val="a3"/>
    <w:uiPriority w:val="59"/>
    <w:rsid w:val="00FC693F"/>
    <w:pPr>
      <w:spacing w:after="0" w:line="240" w:lineRule="auto"/>
    </w:pPr>
    <w:rPr>
      <w:rFonts w:ascii="ＭＳ 明朝" w:eastAsia="ＭＳ 明朝" w:hAnsi="ＭＳ 明朝" w:cs="ＭＳ 明朝"/>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rPr>
      <w:rFonts w:ascii="ＭＳ 明朝" w:eastAsia="ＭＳ 明朝" w:hAnsi="ＭＳ 明朝" w:cs="ＭＳ 明朝"/>
      <w:color w:val="00000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1"/>
        <w:szCs w:val="21"/>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1"/>
        <w:szCs w:val="21"/>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1"/>
        <w:szCs w:val="21"/>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1"/>
        <w:szCs w:val="21"/>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1"/>
        <w:szCs w:val="21"/>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1"/>
        <w:szCs w:val="21"/>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rPr>
      <w:rFonts w:ascii="ＭＳ 明朝" w:eastAsia="ＭＳ 明朝" w:hAnsi="ＭＳ 明朝" w:cs="ＭＳ 明朝"/>
      <w:color w:val="00000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rFonts w:ascii="ＭＳ 明朝" w:eastAsia="ＭＳ 明朝" w:hAnsi="ＭＳ 明朝" w:cs="ＭＳ 明朝"/>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rFonts w:ascii="ＭＳ 明朝" w:eastAsia="ＭＳ 明朝" w:hAnsi="ＭＳ 明朝" w:cs="ＭＳ 明朝"/>
      <w:color w:val="00000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rFonts w:ascii="ＭＳ 明朝" w:eastAsia="ＭＳ 明朝" w:hAnsi="ＭＳ 明朝" w:cs="ＭＳ 明朝"/>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28F36-C1B8-4CB7-8FD3-8B2CBAC90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578</Words>
  <Characters>3295</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中村 謙太郎</cp:lastModifiedBy>
  <cp:revision>2</cp:revision>
  <dcterms:created xsi:type="dcterms:W3CDTF">2013-12-23T23:15:00Z</dcterms:created>
  <dcterms:modified xsi:type="dcterms:W3CDTF">2026-09-11T01:37:00Z</dcterms:modified>
  <cp:category/>
</cp:coreProperties>
</file>